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перечне полномочий для указания в заявке на подключение пользователей для работы с компонентом казначейского сопровождения  модуля ведения операций по исполнению обязательств участников бюджетного процесса и операций со средствами юридических</w:t>
      </w:r>
      <w:r>
        <w:rPr>
          <w:rFonts w:ascii="Times New Roman" w:hAnsi="Times New Roman"/>
          <w:sz w:val="28"/>
          <w:szCs w:val="28"/>
        </w:rPr>
        <w:t xml:space="preserve"> лиц, не являющихся участниками бюджетного процесса подсистемы управления расходами государственной интегрированной информационной системы управления общественными финансами «Электронный бюджет».</w:t>
      </w:r>
    </w:p>
    <w:p>
      <w:pPr>
        <w:pStyle w:val="Normal"/>
      </w:pPr>
    </w:p>
    <w:p>
      <w:pPr>
        <w:pStyle w:val="Normal"/>
      </w:pPr>
    </w:p>
    <w:tbl>
      <w:tblPr>
        <w:tblW w:w="4720" w:type="pct"/>
        <w:jc w:val="center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654"/>
        <w:gridCol w:w="4809"/>
        <w:gridCol w:w="3838"/>
      </w:tblGrid>
      <w:tr>
        <w:trPr>
          <w:cantSplit/>
          <w:trHeight w:val="624"/>
          <w:tblHeader/>
        </w:trPr>
        <w:tc>
          <w:tcPr>
            <w:tcW w:w="352" w:type="pct"/>
            <w:vAlign w:val="center"/>
            <w:textDirection w:val="lrTb"/>
          </w:tcPr>
          <w:p>
            <w:pPr>
              <w:pStyle w:val="Normal"/>
              <w:jc w:val="center"/>
              <w:spacing w:lineRule="atLeast" w:line="240" w:after="120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№ п/п</w:t>
            </w:r>
          </w:p>
        </w:tc>
        <w:tc>
          <w:tcPr>
            <w:tcW w:w="2585" w:type="pct"/>
            <w:vAlign w:val="center"/>
            <w:textDirection w:val="lrTb"/>
          </w:tcPr>
          <w:p>
            <w:pPr>
              <w:pStyle w:val="Normal"/>
              <w:jc w:val="center"/>
              <w:spacing w:lineRule="atLeast" w:line="240" w:after="120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Полномочи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е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</w:r>
          </w:p>
        </w:tc>
        <w:tc>
          <w:tcPr>
            <w:tcW w:w="2063" w:type="pct"/>
            <w:vAlign w:val="center"/>
            <w:textDirection w:val="lrTb"/>
          </w:tcPr>
          <w:p>
            <w:pPr>
              <w:pStyle w:val="Normal"/>
              <w:jc w:val="center"/>
              <w:spacing w:lineRule="atLeast" w:line="240" w:after="120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Доступная функция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</w:r>
          </w:p>
        </w:tc>
      </w:tr>
      <w:tr>
        <w:trPr>
          <w:cantSplit/>
          <w:trHeight w:val="964"/>
        </w:trPr>
        <w:tc>
          <w:tcPr>
            <w:gridSpan w:val="3"/>
            <w:tcW w:w="5000" w:type="pct"/>
            <w:vAlign w:val="center"/>
            <w:textDirection w:val="lrTb"/>
          </w:tcPr>
          <w:p>
            <w:pPr>
              <w:pStyle w:val="Normal"/>
              <w:jc w:val="center"/>
              <w:spacing w:lineRule="atLeast" w:line="240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Для клиентов</w:t>
            </w:r>
            <w:r>
              <w:rPr>
                <w:rStyle w:val="EndnoteReference"/>
                <w:rFonts w:ascii="Times New Roman" w:hAnsi="Times New Roman"/>
                <w:b/>
                <w:sz w:val="20"/>
                <w:szCs w:val="20"/>
              </w:rPr>
              <w:endnoteReference w:id="0"/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</w:r>
          </w:p>
        </w:tc>
      </w:tr>
      <w:tr>
        <w:trPr>
          <w:cantSplit/>
          <w:trHeight w:val="919"/>
        </w:trPr>
        <w:tc>
          <w:tcPr>
            <w:tcW w:w="352" w:type="pct"/>
            <w:vAlign w:val="center"/>
            <w:vMerge w:val="restart"/>
            <w:textDirection w:val="lrTb"/>
          </w:tcPr>
          <w:p>
            <w:pPr>
              <w:pStyle w:val="Normal"/>
              <w:numPr>
                <w:numId w:val="14"/>
                <w:ilvl w:val="0"/>
              </w:numPr>
              <w:ind w:left="0" w:firstLine="0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585" w:type="pct"/>
            <w:vAlign w:val="center"/>
            <w:vMerge w:val="restart"/>
            <w:textDirection w:val="lrTb"/>
          </w:tcPr>
          <w:p>
            <w:pPr>
              <w:pStyle w:val="Normal"/>
              <w:jc w:val="center"/>
              <w:spacing w:lineRule="atLeast" w:line="240" w:after="120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</w:r>
          </w:p>
          <w:p>
            <w:pPr>
              <w:pStyle w:val="Normal"/>
              <w:jc w:val="center"/>
              <w:spacing w:lineRule="atLeast" w:line="240" w:after="120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Клиен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т - Заказчик:</w:t>
            </w:r>
          </w:p>
          <w:p>
            <w:pPr>
              <w:pStyle w:val="Normal"/>
              <w:jc w:val="center"/>
              <w:spacing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Утверждение Сведений об операциях с целевыми средствами на 20__год и плановый период 20__-20__годов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  <w:p>
            <w:pPr>
              <w:pStyle w:val="Normal"/>
              <w:jc w:val="center"/>
              <w:spacing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063" w:type="pct"/>
            <w:vAlign w:val="center"/>
            <w:textDirection w:val="lrTb"/>
          </w:tcPr>
          <w:p>
            <w:pPr>
              <w:pStyle w:val="Normal"/>
              <w:jc w:val="center"/>
              <w:spacing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Утверждение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</w:tr>
      <w:tr>
        <w:trPr>
          <w:cantSplit/>
          <w:trHeight w:val="919"/>
        </w:trPr>
        <w:tc>
          <w:tcPr>
            <w:tcW w:w="352" w:type="pct"/>
            <w:vAlign w:val="center"/>
            <w:vMerge w:val="continue"/>
            <w:textDirection w:val="lrTb"/>
          </w:tcPr>
          <w:p>
            <w:pPr>
              <w:pStyle w:val="Normal"/>
              <w:numPr>
                <w:numId w:val="14"/>
                <w:ilvl w:val="0"/>
              </w:numPr>
              <w:ind w:left="0" w:firstLine="0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585" w:type="pct"/>
            <w:vAlign w:val="center"/>
            <w:vMerge w:val="continue"/>
            <w:textDirection w:val="lrTb"/>
          </w:tcPr>
          <w:p>
            <w:pPr>
              <w:pStyle w:val="Normal"/>
              <w:jc w:val="center"/>
              <w:spacing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063" w:type="pct"/>
            <w:vAlign w:val="center"/>
            <w:textDirection w:val="lrTb"/>
          </w:tcPr>
          <w:p>
            <w:pPr>
              <w:pStyle w:val="Normal"/>
              <w:jc w:val="center"/>
              <w:spacing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Просмотр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</w:tr>
      <w:tr>
        <w:trPr>
          <w:cantSplit/>
          <w:trHeight w:val="919"/>
        </w:trPr>
        <w:tc>
          <w:tcPr>
            <w:tcW w:w="352" w:type="pct"/>
            <w:vAlign w:val="center"/>
            <w:vMerge w:val="restart"/>
            <w:textDirection w:val="lrTb"/>
          </w:tcPr>
          <w:p>
            <w:pPr>
              <w:pStyle w:val="Normal"/>
              <w:numPr>
                <w:numId w:val="14"/>
                <w:ilvl w:val="0"/>
              </w:numPr>
              <w:ind w:left="0" w:firstLine="0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585" w:type="pct"/>
            <w:vAlign w:val="center"/>
            <w:vMerge w:val="restart"/>
            <w:textDirection w:val="lrTb"/>
          </w:tcPr>
          <w:p>
            <w:pPr>
              <w:pStyle w:val="Normal"/>
              <w:jc w:val="center"/>
              <w:spacing w:lineRule="atLeast" w:line="240" w:after="120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Клиент - Заказчик:</w:t>
            </w:r>
          </w:p>
          <w:p>
            <w:pPr>
              <w:pStyle w:val="Normal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Формирование и обработка документов 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при осуществлении приостановления (отмены приостановления) о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пераций по лицевым счетам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063" w:type="pct"/>
            <w:vAlign w:val="center"/>
            <w:textDirection w:val="lrTb"/>
          </w:tcPr>
          <w:p>
            <w:pPr>
              <w:pStyle w:val="Normal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Ввод</w:t>
            </w:r>
          </w:p>
        </w:tc>
      </w:tr>
      <w:tr>
        <w:trPr>
          <w:cantSplit/>
          <w:trHeight w:val="919"/>
        </w:trPr>
        <w:tc>
          <w:tcPr>
            <w:tcW w:w="352" w:type="pct"/>
            <w:vAlign w:val="center"/>
            <w:vMerge w:val="continue"/>
            <w:textDirection w:val="lrTb"/>
          </w:tcPr>
          <w:p>
            <w:pPr>
              <w:pStyle w:val="Normal"/>
              <w:numPr>
                <w:numId w:val="14"/>
                <w:ilvl w:val="0"/>
              </w:numPr>
              <w:ind w:left="0" w:firstLine="0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585" w:type="pct"/>
            <w:vAlign w:val="center"/>
            <w:vMerge w:val="continue"/>
            <w:textDirection w:val="lrTb"/>
          </w:tcPr>
          <w:p>
            <w:pPr>
              <w:pStyle w:val="Normal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063" w:type="pct"/>
            <w:vAlign w:val="center"/>
            <w:textDirection w:val="lrTb"/>
          </w:tcPr>
          <w:p>
            <w:pPr>
              <w:pStyle w:val="Normal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Согласование</w:t>
            </w:r>
          </w:p>
        </w:tc>
      </w:tr>
      <w:tr>
        <w:trPr>
          <w:cantSplit/>
          <w:trHeight w:val="919"/>
        </w:trPr>
        <w:tc>
          <w:tcPr>
            <w:tcW w:w="352" w:type="pct"/>
            <w:vAlign w:val="center"/>
            <w:vMerge w:val="continue"/>
            <w:textDirection w:val="lrTb"/>
          </w:tcPr>
          <w:p>
            <w:pPr>
              <w:pStyle w:val="Normal"/>
              <w:numPr>
                <w:numId w:val="14"/>
                <w:ilvl w:val="0"/>
              </w:numPr>
              <w:ind w:left="0" w:firstLine="0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585" w:type="pct"/>
            <w:vAlign w:val="center"/>
            <w:vMerge w:val="continue"/>
            <w:textDirection w:val="lrTb"/>
          </w:tcPr>
          <w:p>
            <w:pPr>
              <w:pStyle w:val="Normal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063" w:type="pct"/>
            <w:vAlign w:val="center"/>
            <w:textDirection w:val="lrTb"/>
          </w:tcPr>
          <w:p>
            <w:pPr>
              <w:pStyle w:val="Normal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Утверждение</w:t>
            </w:r>
          </w:p>
        </w:tc>
      </w:tr>
      <w:tr>
        <w:trPr>
          <w:cantSplit/>
          <w:trHeight w:val="919"/>
        </w:trPr>
        <w:tc>
          <w:tcPr>
            <w:tcW w:w="352" w:type="pct"/>
            <w:vAlign w:val="center"/>
            <w:vMerge w:val="continue"/>
            <w:textDirection w:val="lrTb"/>
          </w:tcPr>
          <w:p>
            <w:pPr>
              <w:pStyle w:val="Normal"/>
              <w:numPr>
                <w:numId w:val="14"/>
                <w:ilvl w:val="0"/>
              </w:numPr>
              <w:ind w:left="0" w:firstLine="0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585" w:type="pct"/>
            <w:vAlign w:val="center"/>
            <w:vMerge w:val="continue"/>
            <w:textDirection w:val="lrTb"/>
          </w:tcPr>
          <w:p>
            <w:pPr>
              <w:pStyle w:val="Normal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063" w:type="pct"/>
            <w:vAlign w:val="center"/>
            <w:textDirection w:val="lrTb"/>
          </w:tcPr>
          <w:p>
            <w:pPr>
              <w:pStyle w:val="Normal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Просмотр</w:t>
            </w:r>
          </w:p>
        </w:tc>
      </w:tr>
      <w:tr>
        <w:trPr>
          <w:cantSplit/>
          <w:trHeight w:val="919"/>
        </w:trPr>
        <w:tc>
          <w:tcPr>
            <w:tcW w:w="352" w:type="pct"/>
            <w:vAlign w:val="center"/>
            <w:vMerge w:val="restart"/>
            <w:textDirection w:val="lrTb"/>
          </w:tcPr>
          <w:p>
            <w:pPr>
              <w:pStyle w:val="Normal"/>
              <w:numPr>
                <w:numId w:val="14"/>
                <w:ilvl w:val="0"/>
              </w:numPr>
              <w:ind w:left="0" w:firstLine="0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585" w:type="pct"/>
            <w:vAlign w:val="center"/>
            <w:vMerge w:val="restart"/>
            <w:textDirection w:val="lrTb"/>
          </w:tcPr>
          <w:p>
            <w:pPr>
              <w:pStyle w:val="Normal"/>
              <w:jc w:val="center"/>
              <w:spacing w:lineRule="atLeast" w:line="240" w:after="120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</w:r>
          </w:p>
          <w:p>
            <w:pPr>
              <w:pStyle w:val="Normal"/>
              <w:jc w:val="center"/>
              <w:spacing w:lineRule="atLeast" w:line="240" w:after="120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Клиент - 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Исполнитель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:</w:t>
            </w:r>
          </w:p>
          <w:p>
            <w:pPr>
              <w:pStyle w:val="Normal"/>
              <w:jc w:val="center"/>
              <w:spacing w:lineRule="atLeast" w:line="240" w:after="120"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spacing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Исполнитель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Предоставление и получение документов организациями при казначейском сопровождении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63" w:type="pct"/>
            <w:vAlign w:val="center"/>
            <w:textDirection w:val="lrTb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Ввод</w:t>
            </w:r>
          </w:p>
        </w:tc>
      </w:tr>
      <w:tr>
        <w:trPr>
          <w:cantSplit/>
          <w:trHeight w:val="919"/>
        </w:trPr>
        <w:tc>
          <w:tcPr>
            <w:tcW w:w="352" w:type="pct"/>
            <w:vAlign w:val="center"/>
            <w:vMerge w:val="continue"/>
            <w:textDirection w:val="lrTb"/>
          </w:tcPr>
          <w:p>
            <w:pPr>
              <w:pStyle w:val="Normal"/>
              <w:numPr>
                <w:numId w:val="14"/>
                <w:ilvl w:val="0"/>
              </w:numPr>
              <w:ind w:left="0" w:firstLine="0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585" w:type="pct"/>
            <w:vAlign w:val="center"/>
            <w:vMerge w:val="continue"/>
            <w:textDirection w:val="lrTb"/>
          </w:tcPr>
          <w:p>
            <w:pPr>
              <w:pStyle w:val="Normal"/>
              <w:jc w:val="center"/>
              <w:spacing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063" w:type="pct"/>
            <w:vAlign w:val="center"/>
            <w:textDirection w:val="lrTb"/>
          </w:tcPr>
          <w:p>
            <w:pPr>
              <w:pStyle w:val="Normal"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Согласование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</w:tr>
      <w:tr>
        <w:trPr>
          <w:cantSplit/>
          <w:trHeight w:val="920"/>
        </w:trPr>
        <w:tc>
          <w:tcPr>
            <w:tcW w:w="352" w:type="pct"/>
            <w:vAlign w:val="center"/>
            <w:vMerge w:val="continue"/>
            <w:textDirection w:val="lrTb"/>
          </w:tcPr>
          <w:p>
            <w:pPr>
              <w:pStyle w:val="Normal"/>
              <w:numPr>
                <w:numId w:val="14"/>
                <w:ilvl w:val="0"/>
              </w:numPr>
              <w:ind w:left="0" w:firstLine="0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585" w:type="pct"/>
            <w:vAlign w:val="center"/>
            <w:vMerge w:val="continue"/>
            <w:textDirection w:val="lrTb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63" w:type="pct"/>
            <w:vAlign w:val="center"/>
            <w:textDirection w:val="lrTb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Просмотр</w:t>
            </w:r>
          </w:p>
        </w:tc>
      </w:tr>
      <w:tr>
        <w:trPr>
          <w:cantSplit/>
          <w:trHeight w:val="919"/>
        </w:trPr>
        <w:tc>
          <w:tcPr>
            <w:tcW w:w="352" w:type="pct"/>
            <w:vAlign w:val="center"/>
            <w:vMerge w:val="restart"/>
            <w:textDirection w:val="lrTb"/>
          </w:tcPr>
          <w:p>
            <w:pPr>
              <w:pStyle w:val="Normal"/>
              <w:numPr>
                <w:numId w:val="14"/>
                <w:ilvl w:val="0"/>
              </w:numPr>
              <w:ind w:left="0" w:firstLine="0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585" w:type="pct"/>
            <w:vAlign w:val="center"/>
            <w:vMerge w:val="restart"/>
            <w:textDirection w:val="lrTb"/>
          </w:tcPr>
          <w:p>
            <w:pPr>
              <w:pStyle w:val="Normal"/>
              <w:jc w:val="center"/>
              <w:spacing w:after="120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</w:r>
          </w:p>
          <w:p>
            <w:pPr>
              <w:pStyle w:val="Normal"/>
              <w:jc w:val="center"/>
              <w:spacing w:after="120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Клиен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т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–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Исполнитель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:</w:t>
            </w:r>
          </w:p>
          <w:p>
            <w:pPr>
              <w:pStyle w:val="Normal"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Ру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ководитель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(право 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первой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 подписи):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63" w:type="pct"/>
            <w:vAlign w:val="center"/>
            <w:textDirection w:val="lrTb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Утверждение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/>
          <w:trHeight w:val="919"/>
        </w:trPr>
        <w:tc>
          <w:tcPr>
            <w:tcW w:w="352" w:type="pct"/>
            <w:vAlign w:val="center"/>
            <w:vMerge w:val="continue"/>
            <w:textDirection w:val="lrTb"/>
          </w:tcPr>
          <w:p>
            <w:pPr>
              <w:pStyle w:val="Normal"/>
              <w:numPr>
                <w:numId w:val="14"/>
                <w:ilvl w:val="0"/>
              </w:numPr>
              <w:ind w:left="0" w:firstLine="0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585" w:type="pct"/>
            <w:vAlign w:val="center"/>
            <w:vMerge w:val="continue"/>
            <w:textDirection w:val="lrTb"/>
          </w:tcPr>
          <w:p>
            <w:pPr>
              <w:pStyle w:val="Normal"/>
              <w:jc w:val="center"/>
              <w:spacing w:after="120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</w:r>
          </w:p>
        </w:tc>
        <w:tc>
          <w:tcPr>
            <w:tcW w:w="2063" w:type="pct"/>
            <w:vAlign w:val="center"/>
            <w:textDirection w:val="lrTb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Просмотр</w:t>
            </w:r>
          </w:p>
        </w:tc>
      </w:tr>
      <w:tr>
        <w:trPr>
          <w:cantSplit/>
          <w:trHeight w:val="1044"/>
        </w:trPr>
        <w:tc>
          <w:tcPr>
            <w:tcW w:w="352" w:type="pct"/>
            <w:vAlign w:val="center"/>
            <w:vMerge w:val="restart"/>
            <w:textDirection w:val="lrTb"/>
          </w:tcPr>
          <w:p>
            <w:pPr>
              <w:pStyle w:val="Normal"/>
              <w:numPr>
                <w:numId w:val="14"/>
                <w:ilvl w:val="0"/>
              </w:numPr>
              <w:ind w:left="0" w:firstLine="0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585" w:type="pct"/>
            <w:vAlign w:val="center"/>
            <w:vMerge w:val="restart"/>
            <w:textDirection w:val="lrTb"/>
          </w:tcPr>
          <w:p>
            <w:pPr>
              <w:pStyle w:val="Normal"/>
              <w:jc w:val="center"/>
              <w:spacing w:after="120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</w:r>
          </w:p>
          <w:p>
            <w:pPr>
              <w:pStyle w:val="Normal"/>
              <w:jc w:val="center"/>
              <w:spacing w:after="120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bookmarkStart w:id="0" w:name="_Hlk42168661"/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Клиен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т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–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Исполнитель:</w:t>
            </w:r>
          </w:p>
          <w:p>
            <w:pPr>
              <w:pStyle w:val="Normal"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Главный бухгалтер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(право второй подписи):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End w:id="0"/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63" w:type="pct"/>
            <w:vAlign w:val="center"/>
            <w:textDirection w:val="lrTb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Утверждение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/>
          <w:trHeight w:val="919"/>
        </w:trPr>
        <w:tc>
          <w:tcPr>
            <w:tcW w:w="352" w:type="pct"/>
            <w:vAlign w:val="center"/>
            <w:vMerge w:val="continue"/>
            <w:textDirection w:val="lrTb"/>
          </w:tcPr>
          <w:p>
            <w:pPr>
              <w:pStyle w:val="Normal"/>
              <w:numPr>
                <w:numId w:val="14"/>
                <w:ilvl w:val="0"/>
              </w:numPr>
              <w:ind w:left="0" w:firstLine="0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585" w:type="pct"/>
            <w:vAlign w:val="center"/>
            <w:vMerge w:val="continue"/>
            <w:textDirection w:val="lrTb"/>
          </w:tcPr>
          <w:p>
            <w:pPr>
              <w:pStyle w:val="Normal"/>
              <w:jc w:val="center"/>
              <w:spacing w:after="120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</w:r>
          </w:p>
        </w:tc>
        <w:tc>
          <w:tcPr>
            <w:tcW w:w="2063" w:type="pct"/>
            <w:vAlign w:val="center"/>
            <w:textDirection w:val="lrTb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Просмотр</w:t>
            </w:r>
          </w:p>
        </w:tc>
      </w:tr>
      <w:tr>
        <w:trPr>
          <w:cantSplit/>
          <w:trHeight w:val="801"/>
        </w:trPr>
        <w:tc>
          <w:tcPr>
            <w:tcW w:w="352" w:type="pct"/>
            <w:vAlign w:val="center"/>
            <w:vMerge w:val="restart"/>
            <w:textDirection w:val="lrTb"/>
          </w:tcPr>
          <w:p>
            <w:pPr>
              <w:pStyle w:val="Normal"/>
              <w:numPr>
                <w:numId w:val="14"/>
                <w:ilvl w:val="0"/>
              </w:numPr>
              <w:ind w:left="0" w:firstLine="0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585" w:type="pct"/>
            <w:vAlign w:val="center"/>
            <w:vMerge w:val="restart"/>
            <w:textDirection w:val="lrTb"/>
          </w:tcPr>
          <w:p>
            <w:pPr>
              <w:pStyle w:val="Normal"/>
              <w:jc w:val="center"/>
              <w:spacing w:after="120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Клиен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т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–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Исполнитель:</w:t>
            </w:r>
          </w:p>
          <w:p>
            <w:pPr>
              <w:pStyle w:val="Normal"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Руководитель ФЭС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</w:p>
          <w:p>
            <w:pPr>
              <w:pStyle w:val="Normal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</w:r>
          </w:p>
        </w:tc>
        <w:tc>
          <w:tcPr>
            <w:tcW w:w="2063" w:type="pct"/>
            <w:vAlign w:val="center"/>
            <w:textDirection w:val="lrTb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Утверждение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/>
          <w:trHeight w:val="920"/>
        </w:trPr>
        <w:tc>
          <w:tcPr>
            <w:tcW w:w="352" w:type="pct"/>
            <w:vAlign w:val="center"/>
            <w:vMerge w:val="continue"/>
            <w:textDirection w:val="lrTb"/>
          </w:tcPr>
          <w:p>
            <w:pPr>
              <w:pStyle w:val="Normal"/>
              <w:numPr>
                <w:numId w:val="14"/>
                <w:ilvl w:val="0"/>
              </w:numPr>
              <w:ind w:left="0" w:firstLine="0"/>
              <w:jc w:val="center"/>
              <w:spacing w:lineRule="atLeast" w:line="240" w:after="120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</w:r>
          </w:p>
        </w:tc>
        <w:tc>
          <w:tcPr>
            <w:tcW w:w="2585" w:type="pct"/>
            <w:vAlign w:val="center"/>
            <w:vMerge w:val="continue"/>
            <w:textDirection w:val="lrTb"/>
          </w:tcPr>
          <w:p>
            <w:pPr>
              <w:pStyle w:val="Normal"/>
              <w:jc w:val="center"/>
              <w:spacing w:after="120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</w:r>
          </w:p>
        </w:tc>
        <w:tc>
          <w:tcPr>
            <w:tcW w:w="2063" w:type="pct"/>
            <w:vAlign w:val="center"/>
            <w:textDirection w:val="lrTb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Просмотр</w:t>
            </w:r>
          </w:p>
        </w:tc>
      </w:tr>
    </w:tbl>
    <w:sectPr>
      <w:headerReference w:type="default" r:id="rId8"/>
      <w:headerReference w:type="first" r:id="rId9"/>
      <w:type w:val="nextPage"/>
      <w:pgSz w:w="11906" w:h="16838"/>
      <w:pgMar w:top="1134" w:right="851" w:bottom="993" w:left="1418" w:header="284" w:footer="0" w:gutter="0"/>
      <w:cols w:space="708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id="0">
    <w:p>
      <w:pPr>
        <w:pStyle w:val="Normal"/>
        <w:ind w:right="139"/>
        <w:jc w:val="both"/>
        <w:rPr>
          <w:rFonts w:ascii="Times New Roman" w:hAnsi="Times New Roman"/>
          <w:sz w:val="20"/>
          <w:szCs w:val="20"/>
        </w:rPr>
      </w:pPr>
      <w:r>
        <w:rPr>
          <w:rStyle w:val="EndnoteReference"/>
        </w:rPr>
        <w:endnoteRef/>
      </w:r>
      <w:r>
        <w:t xml:space="preserve"> </w:t>
      </w:r>
      <w:r>
        <w:rPr>
          <w:rFonts w:ascii="Times New Roman" w:hAnsi="Times New Roman"/>
          <w:sz w:val="20"/>
          <w:szCs w:val="20"/>
        </w:rPr>
        <w:t xml:space="preserve">Под клиентом понимается: Участник бюджетного процесса, бюджетное (автономное) учреждение, организация, иное юридическое лицо, крестьянское (фермерское) </w:t>
      </w:r>
      <w:r>
        <w:rPr>
          <w:rFonts w:ascii="Times New Roman" w:hAnsi="Times New Roman"/>
          <w:sz w:val="20"/>
          <w:szCs w:val="20"/>
        </w:rPr>
        <w:t xml:space="preserve">хозяйство, индивидуальный предприниматель, которым в соответствии с Порядком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открытия и ведения лицевых счетов территориальными органами</w:t>
      </w:r>
      <w:r>
        <w:rPr>
          <w:rFonts w:ascii="Times New Roman" w:hAnsi="Times New Roman"/>
          <w:sz w:val="20"/>
          <w:szCs w:val="20"/>
        </w:rPr>
        <w:t xml:space="preserve"> Ф</w:t>
      </w:r>
      <w:r>
        <w:rPr>
          <w:rFonts w:ascii="Times New Roman" w:hAnsi="Times New Roman"/>
          <w:sz w:val="20"/>
          <w:szCs w:val="20"/>
        </w:rPr>
        <w:t xml:space="preserve">едерального казначейства открываются лицевые счета в органе Федерального казначейства</w:t>
      </w:r>
      <w:r>
        <w:rPr>
          <w:rFonts w:ascii="Times New Roman" w:hAnsi="Times New Roman"/>
          <w:sz w:val="20"/>
          <w:szCs w:val="20"/>
        </w:rPr>
        <w:t xml:space="preserve">, являющиеся в свою очередь заказ</w:t>
      </w:r>
      <w:r>
        <w:rPr>
          <w:rFonts w:ascii="Times New Roman" w:hAnsi="Times New Roman"/>
          <w:sz w:val="20"/>
          <w:szCs w:val="20"/>
        </w:rPr>
        <w:t xml:space="preserve">чиками и/или исполнителями по государственным контрактам (контрактам, договорам, соглашениям), на основании которых юридическим лицам (индивидуальным предпринимателям) представляются средства бюджетов бюджетной системы, подлежащие казначейскому сопровожден</w:t>
      </w:r>
      <w:r>
        <w:rPr>
          <w:rFonts w:ascii="Times New Roman" w:hAnsi="Times New Roman"/>
          <w:sz w:val="20"/>
          <w:szCs w:val="20"/>
        </w:rPr>
        <w:t xml:space="preserve">ию.</w:t>
      </w:r>
      <w:r>
        <w:rPr>
          <w:rFonts w:ascii="Times New Roman" w:hAnsi="Times New Roman"/>
          <w:sz w:val="20"/>
          <w:szCs w:val="20"/>
        </w:rPr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center"/>
    </w:pPr>
    <w:r>
      <w:fldChar w:fldCharType="begin"/>
    </w:r>
    <w:r>
      <w:instrText xml:space="preserve">PAGE   \* MERG</w:instrText>
    </w:r>
    <w:r>
      <w:instrText xml:space="preserve">EFO</w:instrText>
    </w:r>
    <w:r>
      <w:instrText xml:space="preserve">RMAT</w:instrText>
    </w:r>
    <w:r>
      <w:fldChar w:fldCharType="separate"/>
    </w:r>
    <w:r>
      <w:rPr>
        <w:lang w:val="ru-RU"/>
      </w:rPr>
      <w:t xml:space="preserve">2</w:t>
    </w:r>
    <w:r>
      <w:fldChar w:fldCharType="end"/>
    </w:r>
  </w:p>
  <w:p>
    <w:pPr>
      <w:pStyle w:val="Header"/>
      <w:jc w:val="center"/>
      <w:rPr>
        <w:lang w:val="ru-RU"/>
      </w:rPr>
    </w:pPr>
    <w:r>
      <w:rPr>
        <w:lang w:val="ru-RU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UserStyle_18"/>
      <w:ind w:left="5387"/>
      <w:jc w:val="center"/>
      <w:spacing w:lineRule="auto" w:line="276"/>
      <w:rPr>
        <w:rFonts w:ascii="Times New Roman" w:hAnsi="Times New Roman"/>
        <w:sz w:val="28"/>
        <w:szCs w:val="28"/>
        <w:lang w:eastAsia="en-US"/>
      </w:rPr>
    </w:pPr>
    <w:bookmarkStart w:id="1" w:name="_Toc322613947"/>
    <w:bookmarkEnd w:id="1"/>
    <w:bookmarkStart w:id="2" w:name="_Toc322619445"/>
    <w:bookmarkEnd w:id="2"/>
    <w:bookmarkStart w:id="3" w:name="_Toc372901644"/>
    <w:bookmarkEnd w:id="3"/>
    <w:bookmarkStart w:id="4" w:name="_Toc374702077"/>
    <w:bookmarkEnd w:id="4"/>
    <w:bookmarkStart w:id="5" w:name="_Toc372901645"/>
    <w:bookmarkEnd w:id="5"/>
    <w:bookmarkStart w:id="6" w:name="_Toc374702078"/>
    <w:bookmarkEnd w:id="6"/>
    <w:bookmarkStart w:id="7" w:name="_Toc372901646"/>
    <w:bookmarkEnd w:id="7"/>
    <w:bookmarkStart w:id="8" w:name="_Toc374702079"/>
    <w:bookmarkEnd w:id="8"/>
    <w:bookmarkStart w:id="9" w:name="_Toc372901647"/>
    <w:bookmarkEnd w:id="9"/>
    <w:bookmarkStart w:id="10" w:name="_Toc374702080"/>
    <w:bookmarkEnd w:id="10"/>
    <w:bookmarkStart w:id="11" w:name="_Toc372901648"/>
    <w:bookmarkEnd w:id="11"/>
    <w:bookmarkStart w:id="12" w:name="_Toc374702081"/>
    <w:bookmarkEnd w:id="12"/>
    <w:bookmarkStart w:id="13" w:name="_Toc372901649"/>
    <w:bookmarkEnd w:id="13"/>
    <w:bookmarkStart w:id="14" w:name="_Toc374702082"/>
    <w:bookmarkEnd w:id="14"/>
    <w:r>
      <w:rPr>
        <w:rFonts w:ascii="Times New Roman" w:hAnsi="Times New Roman"/>
        <w:sz w:val="28"/>
        <w:szCs w:val="28"/>
        <w:lang w:eastAsia="en-US"/>
      </w:rPr>
    </w:r>
  </w:p>
  <w:p>
    <w:pPr>
      <w:pStyle w:val="UserStyle_18"/>
      <w:ind w:left="5245" w:right="139"/>
      <w:jc w:val="center"/>
      <w:spacing w:lineRule="auto" w:line="276"/>
      <w:rPr>
        <w:rFonts w:ascii="Times New Roman" w:hAnsi="Times New Roman"/>
        <w:sz w:val="28"/>
        <w:szCs w:val="28"/>
        <w:lang w:eastAsia="en-US"/>
      </w:rPr>
    </w:pPr>
    <w:r>
      <w:rPr>
        <w:rFonts w:ascii="Times New Roman" w:hAnsi="Times New Roman"/>
        <w:sz w:val="28"/>
        <w:szCs w:val="28"/>
        <w:lang w:eastAsia="en-US"/>
      </w:rPr>
      <w:t xml:space="preserve">Приложение № </w:t>
    </w:r>
    <w:r>
      <w:rPr>
        <w:rFonts w:ascii="Times New Roman" w:hAnsi="Times New Roman"/>
        <w:sz w:val="28"/>
        <w:szCs w:val="28"/>
        <w:lang w:eastAsia="en-US"/>
      </w:rPr>
      <w:t xml:space="preserve">4</w:t>
    </w:r>
    <w:r>
      <w:rPr>
        <w:rFonts w:ascii="Times New Roman" w:hAnsi="Times New Roman"/>
        <w:sz w:val="28"/>
        <w:szCs w:val="28"/>
        <w:lang w:eastAsia="en-US"/>
      </w:rPr>
      <w:t xml:space="preserve"> к Единой заявке</w:t>
    </w:r>
    <w:r>
      <w:rPr>
        <w:rFonts w:ascii="Times New Roman" w:hAnsi="Times New Roman"/>
        <w:sz w:val="28"/>
        <w:szCs w:val="28"/>
        <w:lang w:eastAsia="en-US"/>
      </w:rPr>
      <w:t xml:space="preserve">:</w:t>
    </w:r>
  </w:p>
  <w:p>
    <w:pPr>
      <w:pStyle w:val="UserStyle_18"/>
      <w:ind w:left="5245" w:right="139"/>
      <w:jc w:val="center"/>
      <w:spacing w:lineRule="auto" w:line="276"/>
      <w:rPr>
        <w:rFonts w:ascii="Times New Roman" w:hAnsi="Times New Roman"/>
        <w:sz w:val="28"/>
        <w:szCs w:val="28"/>
        <w:lang w:eastAsia="en-US"/>
      </w:rPr>
    </w:pPr>
    <w:r>
      <w:rPr>
        <w:rFonts w:ascii="Times New Roman" w:hAnsi="Times New Roman"/>
        <w:sz w:val="28"/>
        <w:szCs w:val="28"/>
        <w:lang w:eastAsia="en-US"/>
      </w:rPr>
      <w:t xml:space="preserve">Компонент казначейского сопровождения </w:t>
    </w:r>
    <w:r>
      <w:rPr>
        <w:rFonts w:ascii="Times New Roman" w:hAnsi="Times New Roman"/>
        <w:sz w:val="28"/>
        <w:szCs w:val="28"/>
        <w:lang w:eastAsia="en-US"/>
      </w:rPr>
      <w:t xml:space="preserve">Подсистем</w:t>
    </w:r>
    <w:r>
      <w:rPr>
        <w:rFonts w:ascii="Times New Roman" w:hAnsi="Times New Roman"/>
        <w:sz w:val="28"/>
        <w:szCs w:val="28"/>
        <w:lang w:eastAsia="en-US"/>
      </w:rPr>
      <w:t xml:space="preserve">ы</w:t>
    </w:r>
    <w:r>
      <w:rPr>
        <w:rFonts w:ascii="Times New Roman" w:hAnsi="Times New Roman"/>
        <w:sz w:val="28"/>
        <w:szCs w:val="28"/>
        <w:lang w:eastAsia="en-US"/>
      </w:rPr>
      <w:t xml:space="preserve"> </w:t>
    </w:r>
    <w:r>
      <w:rPr>
        <w:rFonts w:ascii="Times New Roman" w:hAnsi="Times New Roman"/>
        <w:sz w:val="28"/>
        <w:szCs w:val="28"/>
        <w:lang w:eastAsia="en-US"/>
      </w:rPr>
      <w:t xml:space="preserve">УР</w:t>
    </w:r>
    <w:r>
      <w:rPr>
        <w:rFonts w:ascii="Times New Roman" w:hAnsi="Times New Roman"/>
        <w:sz w:val="28"/>
        <w:szCs w:val="28"/>
        <w:lang w:eastAsia="en-US"/>
      </w:rPr>
      <w:t xml:space="preserve"> </w:t>
    </w:r>
    <w:r>
      <w:rPr>
        <w:rFonts w:ascii="Times New Roman" w:hAnsi="Times New Roman"/>
        <w:sz w:val="28"/>
        <w:szCs w:val="28"/>
        <w:lang w:eastAsia="en-US"/>
      </w:rPr>
    </w:r>
  </w:p>
  <w:p>
    <w:pPr>
      <w:pStyle w:val="Header"/>
      <w:rPr>
        <w:lang w:val="ru-RU"/>
      </w:rPr>
    </w:pPr>
    <w:r>
      <w:rPr>
        <w:lang w:val="ru-RU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">
    <w:multiLevelType w:val="hybridMultilevel"/>
    <w:lvl w:ilvl="0">
      <w:start w:val="10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4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360" w:hanging="360"/>
        <w:tabs>
          <w:tab w:val="num" w:pos="360" w:leader="none"/>
        </w:tabs>
      </w:pPr>
    </w:lvl>
    <w:lvl w:ilvl="1">
      <w:start w:val="1"/>
      <w:numFmt w:val="lowerLetter"/>
      <w:suff w:val="tab"/>
      <w:lvlText w:val="%2)"/>
      <w:lvlJc w:val="left"/>
      <w:pPr>
        <w:pStyle w:val="Normal"/>
        <w:ind w:left="720" w:hanging="360"/>
        <w:tabs>
          <w:tab w:val="num" w:pos="720" w:leader="none"/>
        </w:tabs>
      </w:pPr>
    </w:lvl>
    <w:lvl w:ilvl="2">
      <w:start w:val="1"/>
      <w:numFmt w:val="lowerRoman"/>
      <w:suff w:val="tab"/>
      <w:lvlText w:val="%3)"/>
      <w:lvlJc w:val="left"/>
      <w:pPr>
        <w:pStyle w:val="Normal"/>
        <w:ind w:left="1080" w:hanging="360"/>
        <w:tabs>
          <w:tab w:val="num" w:pos="1080" w:leader="none"/>
        </w:tabs>
      </w:pPr>
    </w:lvl>
    <w:lvl w:ilvl="3">
      <w:start w:val="1"/>
      <w:numFmt w:val="decimal"/>
      <w:suff w:val="tab"/>
      <w:lvlText w:val="(%4)"/>
      <w:lvlJc w:val="left"/>
      <w:pPr>
        <w:pStyle w:val="Normal"/>
        <w:ind w:left="1440" w:hanging="360"/>
        <w:tabs>
          <w:tab w:val="num" w:pos="1440" w:leader="none"/>
        </w:tabs>
      </w:pPr>
    </w:lvl>
    <w:lvl w:ilvl="4">
      <w:start w:val="1"/>
      <w:numFmt w:val="lowerLetter"/>
      <w:suff w:val="tab"/>
      <w:lvlText w:val="(%5)"/>
      <w:lvlJc w:val="left"/>
      <w:pPr>
        <w:pStyle w:val="Normal"/>
        <w:ind w:left="1800" w:hanging="360"/>
        <w:tabs>
          <w:tab w:val="num" w:pos="1800" w:leader="none"/>
        </w:tabs>
      </w:pPr>
    </w:lvl>
    <w:lvl w:ilvl="5">
      <w:start w:val="1"/>
      <w:numFmt w:val="lowerRoman"/>
      <w:suff w:val="tab"/>
      <w:lvlText w:val="(%6)"/>
      <w:lvlJc w:val="left"/>
      <w:pPr>
        <w:pStyle w:val="Normal"/>
        <w:ind w:left="2160" w:hanging="360"/>
        <w:tabs>
          <w:tab w:val="num" w:pos="2160" w:leader="none"/>
        </w:tabs>
      </w:pPr>
    </w:lvl>
    <w:lvl w:ilvl="6">
      <w:start w:val="1"/>
      <w:numFmt w:val="decimal"/>
      <w:suff w:val="tab"/>
      <w:lvlText w:val="%7."/>
      <w:lvlJc w:val="left"/>
      <w:pPr>
        <w:pStyle w:val="Normal"/>
        <w:ind w:left="2520" w:hanging="360"/>
        <w:tabs>
          <w:tab w:val="num" w:pos="2520" w:leader="none"/>
        </w:tabs>
      </w:pPr>
    </w:lvl>
    <w:lvl w:ilvl="7">
      <w:start w:val="1"/>
      <w:numFmt w:val="lowerLetter"/>
      <w:suff w:val="tab"/>
      <w:lvlText w:val="%8."/>
      <w:lvlJc w:val="left"/>
      <w:pPr>
        <w:pStyle w:val="Normal"/>
        <w:ind w:left="2880" w:hanging="360"/>
        <w:tabs>
          <w:tab w:val="num" w:pos="2880" w:leader="none"/>
        </w:tabs>
      </w:pPr>
    </w:lvl>
    <w:lvl w:ilvl="8">
      <w:start w:val="1"/>
      <w:numFmt w:val="lowerRoman"/>
      <w:suff w:val="tab"/>
      <w:lvlText w:val="%9."/>
      <w:lvlJc w:val="left"/>
      <w:pPr>
        <w:pStyle w:val="Normal"/>
        <w:ind w:left="3240" w:hanging="360"/>
        <w:tabs>
          <w:tab w:val="num" w:pos="3240" w:leader="none"/>
        </w:tabs>
      </w:pPr>
    </w:lvl>
  </w:abstractNum>
  <w:abstractNum w:abstractNumId="5">
    <w:multiLevelType w:val="hybridMultilevel"/>
    <w:lvl w:ilvl="0">
      <w:start w:val="12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6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7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8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65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85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205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925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45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65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85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805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525" w:hanging="180"/>
      </w:pPr>
    </w:lvl>
  </w:abstractNum>
  <w:abstractNum w:abstractNumId="9">
    <w:multiLevelType w:val="hybridMultilevel"/>
    <w:lvl w:ilvl="0">
      <w:start w:val="10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0">
    <w:multiLevelType w:val="hybridMultilevel"/>
    <w:lvl w:ilvl="0">
      <w:start w:val="1"/>
      <w:numFmt w:val="decimal"/>
      <w:pStyle w:val="Heading1"/>
      <w:suff w:val="tab"/>
      <w:lvlText w:val="%1."/>
      <w:lvlJc w:val="left"/>
      <w:pPr>
        <w:pStyle w:val="Normal"/>
        <w:ind w:left="567" w:hanging="567"/>
        <w:tabs>
          <w:tab w:val="num" w:pos="567" w:leader="none"/>
        </w:tabs>
      </w:pPr>
    </w:lvl>
    <w:lvl w:ilvl="1">
      <w:start w:val="1"/>
      <w:numFmt w:val="decimal"/>
      <w:pStyle w:val="Heading2"/>
      <w:suff w:val="tab"/>
      <w:lvlText w:val="%1.%2."/>
      <w:lvlJc w:val="left"/>
      <w:pPr>
        <w:pStyle w:val="Normal"/>
        <w:ind w:left="567" w:hanging="567"/>
        <w:tabs>
          <w:tab w:val="num" w:pos="567" w:leader="none"/>
        </w:tabs>
      </w:pPr>
      <w:rPr>
        <w:rFonts w:ascii="Times New Roman" w:hAnsi="Times New Roman"/>
        <w:b/>
        <w:i w:val="false"/>
        <w:sz w:val="32"/>
        <w:szCs w:val="32"/>
      </w:rPr>
    </w:lvl>
    <w:lvl w:ilvl="2">
      <w:start w:val="1"/>
      <w:numFmt w:val="decimal"/>
      <w:pStyle w:val="Heading3"/>
      <w:suff w:val="tab"/>
      <w:lvlText w:val="%1.%2.%3."/>
      <w:lvlJc w:val="left"/>
      <w:pPr>
        <w:pStyle w:val="Normal"/>
        <w:ind w:left="964" w:hanging="964"/>
        <w:tabs>
          <w:tab w:val="num" w:pos="964" w:leader="none"/>
        </w:tabs>
      </w:pPr>
      <w:rPr>
        <w:rFonts w:ascii="Times New Roman" w:hAnsi="Times New Roman"/>
        <w:b/>
        <w:i w:val="false"/>
        <w:sz w:val="28"/>
        <w:szCs w:val="28"/>
      </w:rPr>
    </w:lvl>
    <w:lvl w:ilvl="3">
      <w:start w:val="1"/>
      <w:numFmt w:val="decimal"/>
      <w:pStyle w:val="Heading4"/>
      <w:suff w:val="tab"/>
      <w:lvlText w:val="%1.%2.%3.%4."/>
      <w:lvlJc w:val="left"/>
      <w:pPr>
        <w:pStyle w:val="Normal"/>
        <w:ind w:left="1134" w:hanging="1134"/>
        <w:tabs>
          <w:tab w:val="num" w:pos="1134" w:leader="none"/>
        </w:tabs>
      </w:pPr>
      <w:rPr>
        <w:rFonts w:ascii="Times New Roman" w:hAnsi="Times New Roman"/>
        <w:b/>
        <w:i w:val="false"/>
        <w:sz w:val="24"/>
      </w:rPr>
    </w:lvl>
    <w:lvl w:ilvl="4">
      <w:start w:val="1"/>
      <w:numFmt w:val="decimal"/>
      <w:suff w:val="tab"/>
      <w:lvlText w:val="%1.%2.%3.%4.%5"/>
      <w:lvlJc w:val="left"/>
      <w:pPr>
        <w:pStyle w:val="Normal"/>
        <w:ind w:left="724" w:hanging="1008"/>
        <w:tabs>
          <w:tab w:val="num" w:pos="724" w:leader="none"/>
        </w:tabs>
      </w:pPr>
    </w:lvl>
    <w:lvl w:ilvl="5">
      <w:start w:val="1"/>
      <w:numFmt w:val="decimal"/>
      <w:suff w:val="tab"/>
      <w:lvlText w:val="%1.%2.%3.%4.%5.%6"/>
      <w:lvlJc w:val="left"/>
      <w:pPr>
        <w:pStyle w:val="Normal"/>
        <w:ind w:left="868" w:hanging="1152"/>
        <w:tabs>
          <w:tab w:val="num" w:pos="868" w:leader="none"/>
        </w:tabs>
      </w:pPr>
    </w:lvl>
    <w:lvl w:ilvl="6">
      <w:start w:val="1"/>
      <w:numFmt w:val="decimal"/>
      <w:suff w:val="tab"/>
      <w:lvlText w:val="%1.%2.%3.%4.%5.%6.%7"/>
      <w:lvlJc w:val="left"/>
      <w:pPr>
        <w:pStyle w:val="Normal"/>
        <w:ind w:left="1012" w:hanging="1296"/>
        <w:tabs>
          <w:tab w:val="num" w:pos="1012" w:leader="none"/>
        </w:tabs>
      </w:pPr>
    </w:lvl>
    <w:lvl w:ilvl="7">
      <w:start w:val="1"/>
      <w:numFmt w:val="decimal"/>
      <w:suff w:val="tab"/>
      <w:lvlText w:val="%1.%2.%3.%4.%5.%6.%7.%8"/>
      <w:lvlJc w:val="left"/>
      <w:pPr>
        <w:pStyle w:val="Normal"/>
        <w:ind w:left="1156" w:hanging="1440"/>
        <w:tabs>
          <w:tab w:val="num" w:pos="1156" w:leader="none"/>
        </w:tabs>
      </w:pPr>
    </w:lvl>
    <w:lvl w:ilvl="8">
      <w:start w:val="1"/>
      <w:numFmt w:val="decimal"/>
      <w:suff w:val="tab"/>
      <w:lvlText w:val="%1.%2.%3.%4.%5.%6.%7.%8.%9"/>
      <w:lvlJc w:val="left"/>
      <w:pPr>
        <w:pStyle w:val="Normal"/>
        <w:ind w:left="1300" w:hanging="1584"/>
        <w:tabs>
          <w:tab w:val="num" w:pos="1300" w:leader="none"/>
        </w:tabs>
      </w:pPr>
    </w:lvl>
  </w:abstractNum>
  <w:abstractNum w:abstractNumId="11">
    <w:multiLevelType w:val="hybridMultilevel"/>
    <w:lvl w:ilvl="0">
      <w:start w:val="0"/>
      <w:numFmt w:val="decimal"/>
      <w:pStyle w:val="UserStyle_30"/>
      <w:suff w:val="tab"/>
      <w:lvlText w:val=""/>
      <w:lvlJc w:val="left"/>
      <w:pPr>
        <w:pStyle w:val="Normal"/>
        <w:tabs>
          <w:tab w:val="num" w:pos="360" w:leader="none"/>
        </w:tabs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  <w:tabs>
          <w:tab w:val="num" w:pos="1440" w:leader="none"/>
        </w:tabs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  <w:tabs>
          <w:tab w:val="num" w:pos="2160" w:leader="none"/>
        </w:tabs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  <w:tabs>
          <w:tab w:val="num" w:pos="2880" w:leader="none"/>
        </w:tabs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  <w:tabs>
          <w:tab w:val="num" w:pos="3600" w:leader="none"/>
        </w:tabs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  <w:tabs>
          <w:tab w:val="num" w:pos="4320" w:leader="none"/>
        </w:tabs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  <w:tabs>
          <w:tab w:val="num" w:pos="5040" w:leader="none"/>
        </w:tabs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  <w:tabs>
          <w:tab w:val="num" w:pos="5760" w:leader="none"/>
        </w:tabs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3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4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5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6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7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8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17"/>
  </w:num>
  <w:num w:numId="5">
    <w:abstractNumId w:val="0"/>
  </w:num>
  <w:num w:numId="6">
    <w:abstractNumId w:val="2"/>
  </w:num>
  <w:num w:numId="7">
    <w:abstractNumId w:val="5"/>
  </w:num>
  <w:num w:numId="8">
    <w:abstractNumId w:val="13"/>
  </w:num>
  <w:num w:numId="9">
    <w:abstractNumId w:val="6"/>
  </w:num>
  <w:num w:numId="10">
    <w:abstractNumId w:val="7"/>
  </w:num>
  <w:num w:numId="11">
    <w:abstractNumId w:val="12"/>
  </w:num>
  <w:num w:numId="12">
    <w:abstractNumId w:val="9"/>
  </w:num>
  <w:num w:numId="13">
    <w:abstractNumId w:val="1"/>
  </w:num>
  <w:num w:numId="14">
    <w:abstractNumId w:val="3"/>
  </w:num>
  <w:num w:numId="15">
    <w:abstractNumId w:val="8"/>
  </w:num>
  <w:num w:numId="16">
    <w:abstractNumId w:val="18"/>
  </w:num>
  <w:num w:numId="17">
    <w:abstractNumId w:val="16"/>
  </w:num>
  <w:num w:numId="18">
    <w:abstractNumId w:val="15"/>
  </w:num>
  <w:num w:numId="19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defaultTabStop w:val="709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Times New Roman" w:eastAsia="Calibri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Обычный"/>
    <w:next w:val="Normal"/>
    <w:link w:val="Normal"/>
    <w:rPr>
      <w:rFonts w:eastAsia="Times New Roman"/>
      <w:sz w:val="22"/>
      <w:szCs w:val="22"/>
      <w:lang w:val="ru-RU" w:bidi="ar-SA" w:eastAsia="en-US"/>
    </w:rPr>
  </w:style>
  <w:style w:type="paragraph" w:styleId="Heading1">
    <w:name w:val="Заголовок 1,_EB_1"/>
    <w:basedOn w:val="Normal"/>
    <w:next w:val="UserStyle_0"/>
    <w:link w:val="UserStyle_1"/>
    <w:locked/>
    <w:rPr>
      <w:rFonts w:ascii="Times New Roman" w:hAnsi="Times New Roman"/>
      <w:b/>
      <w:caps/>
      <w:sz w:val="32"/>
      <w:szCs w:val="36"/>
      <w:lang w:val="en-US"/>
    </w:rPr>
    <w:pPr>
      <w:numPr>
        <w:numId w:val="1"/>
        <w:ilvl w:val="0"/>
      </w:numPr>
      <w:contextualSpacing w:val="true"/>
      <w:jc w:val="center"/>
      <w:keepNext/>
      <w:pageBreakBefore/>
      <w:spacing w:after="480" w:before="240"/>
      <w:outlineLvl w:val="0"/>
    </w:pPr>
  </w:style>
  <w:style w:type="paragraph" w:styleId="Heading2">
    <w:name w:val="Заголовок 2,_EB_2"/>
    <w:basedOn w:val="Heading1"/>
    <w:next w:val="UserStyle_0"/>
    <w:link w:val="UserStyle_2"/>
    <w:locked/>
    <w:rPr>
      <w:bCs/>
      <w:iCs/>
      <w:caps w:val="false"/>
      <w:sz w:val="32"/>
      <w:szCs w:val="32"/>
    </w:rPr>
    <w:pPr>
      <w:numPr>
        <w:numId w:val="1"/>
        <w:ilvl w:val="1"/>
      </w:numPr>
      <w:jc w:val="left"/>
      <w:pageBreakBefore w:val="false"/>
      <w:spacing w:after="240"/>
      <w:tabs>
        <w:tab w:val="left" w:pos="851" w:leader="none"/>
      </w:tabs>
      <w:outlineLvl w:val="1"/>
    </w:pPr>
  </w:style>
  <w:style w:type="paragraph" w:styleId="Heading3">
    <w:name w:val="Заголовок 3,_EB_3"/>
    <w:basedOn w:val="Heading2"/>
    <w:next w:val="UserStyle_0"/>
    <w:link w:val="UserStyle_3"/>
    <w:locked/>
    <w:rPr>
      <w:bCs w:val="false"/>
      <w:sz w:val="28"/>
      <w:szCs w:val="26"/>
    </w:rPr>
    <w:pPr>
      <w:numPr>
        <w:numId w:val="1"/>
        <w:ilvl w:val="2"/>
      </w:numPr>
      <w:keepLines/>
      <w:tabs>
        <w:tab w:val="clear" w:pos="851"/>
      </w:tabs>
      <w:outlineLvl w:val="2"/>
    </w:pPr>
  </w:style>
  <w:style w:type="paragraph" w:styleId="Heading4">
    <w:name w:val="Заголовок 4,_EB_4"/>
    <w:basedOn w:val="Heading3"/>
    <w:next w:val="UserStyle_0"/>
    <w:link w:val="UserStyle_4"/>
    <w:locked/>
    <w:rPr>
      <w:sz w:val="24"/>
    </w:rPr>
    <w:pPr>
      <w:numPr>
        <w:numId w:val="1"/>
        <w:ilvl w:val="3"/>
      </w:numPr>
      <w:outlineLvl w:val="3"/>
    </w:pPr>
  </w:style>
  <w:style w:type="character" w:styleId="NormalCharacter">
    <w:name w:val="Основной шрифт абзаца"/>
    <w:next w:val="NormalCharacter"/>
    <w:link w:val="Normal"/>
  </w:style>
  <w:style w:type="table" w:styleId="TableNormal">
    <w:name w:val="Обычная таблица"/>
    <w:next w:val="TableNormal"/>
    <w:link w:val="Normal"/>
    <w:semiHidden/>
  </w:style>
  <w:style w:type="numbering" w:styleId="NormalList">
    <w:name w:val="Нет списка"/>
    <w:next w:val="NormalList"/>
    <w:link w:val="Normal"/>
    <w:semiHidden/>
  </w:style>
  <w:style w:type="paragraph" w:styleId="UserStyle_5">
    <w:name w:val="Абзац списка1"/>
    <w:basedOn w:val="Normal"/>
    <w:next w:val="UserStyle_5"/>
    <w:link w:val="UserStyle_6"/>
    <w:pPr>
      <w:contextualSpacing w:val="true"/>
      <w:ind w:left="720"/>
    </w:pPr>
  </w:style>
  <w:style w:type="character" w:styleId="UserStyle_7">
    <w:name w:val="Нижний колонтитул Знак,f Знак"/>
    <w:next w:val="UserStyle_7"/>
    <w:link w:val="Normal"/>
    <w:locked/>
    <w:rPr>
      <w:rFonts w:ascii="Times New Roman" w:hAnsi="Times New Roman"/>
      <w:sz w:val="20"/>
      <w:szCs w:val="20"/>
    </w:rPr>
  </w:style>
  <w:style w:type="table" w:styleId="TableGrid">
    <w:name w:val="Сетка таблицы"/>
    <w:basedOn w:val="TableNormal"/>
    <w:next w:val="TableGrid"/>
    <w:link w:val="Normal"/>
    <w:rPr>
      <w:rFonts w:eastAsia="Times New Roman"/>
      <w:sz w:val="20"/>
      <w:szCs w:val="20"/>
    </w:rPr>
    <w:pPr>
      <w:spacing w:lineRule="auto" w:line="240" w:after="0"/>
    </w:pPr>
  </w:style>
  <w:style w:type="paragraph" w:styleId="Acetate">
    <w:name w:val="Текст выноски"/>
    <w:basedOn w:val="Normal"/>
    <w:next w:val="Acetate"/>
    <w:link w:val="UserStyle_8"/>
    <w:semiHidden/>
    <w:rPr>
      <w:rFonts w:ascii="Tahoma" w:hAnsi="Tahoma" w:eastAsia="Calibri"/>
      <w:sz w:val="16"/>
      <w:szCs w:val="20"/>
      <w:lang w:val="en-US" w:eastAsia="en-US"/>
    </w:rPr>
  </w:style>
  <w:style w:type="paragraph" w:styleId="UserStyle_9">
    <w:name w:val="ConsPlusCell"/>
    <w:next w:val="UserStyle_9"/>
    <w:link w:val="Normal"/>
    <w:rPr>
      <w:rFonts w:ascii="Times New Roman" w:hAnsi="Times New Roman" w:eastAsia="Times New Roman"/>
      <w:sz w:val="24"/>
      <w:szCs w:val="24"/>
      <w:lang w:val="ru-RU" w:bidi="ar-SA" w:eastAsia="en-US"/>
    </w:rPr>
  </w:style>
  <w:style w:type="character" w:styleId="UserStyle_8">
    <w:name w:val="Текст выноски Знак"/>
    <w:next w:val="UserStyle_8"/>
    <w:link w:val="Acetate"/>
    <w:locked/>
    <w:semiHidden/>
    <w:rPr>
      <w:rFonts w:ascii="Tahoma" w:hAnsi="Tahoma"/>
      <w:sz w:val="16"/>
    </w:rPr>
  </w:style>
  <w:style w:type="character" w:styleId="UserStyle_6">
    <w:name w:val="List Paragraph Char"/>
    <w:next w:val="UserStyle_6"/>
    <w:link w:val="UserStyle_5"/>
    <w:locked/>
  </w:style>
  <w:style w:type="character" w:styleId="FootnoteReference">
    <w:name w:val="Знак сноски"/>
    <w:next w:val="FootnoteReference"/>
    <w:link w:val="Normal"/>
    <w:rPr>
      <w:vertAlign w:val="superscript"/>
    </w:rPr>
  </w:style>
  <w:style w:type="paragraph" w:styleId="FootnoteText">
    <w:name w:val="Текст сноски"/>
    <w:basedOn w:val="Normal"/>
    <w:next w:val="FootnoteText"/>
    <w:link w:val="UserStyle_10"/>
    <w:rPr>
      <w:rFonts w:eastAsia="Calibri"/>
      <w:sz w:val="20"/>
      <w:szCs w:val="20"/>
      <w:lang w:val="en-US" w:eastAsia="en-US"/>
    </w:rPr>
  </w:style>
  <w:style w:type="character" w:styleId="UserStyle_11">
    <w:name w:val="Текст сноски Знак"/>
    <w:next w:val="UserStyle_11"/>
    <w:link w:val="Normal"/>
    <w:semiHidden/>
    <w:rPr>
      <w:sz w:val="20"/>
    </w:rPr>
  </w:style>
  <w:style w:type="character" w:styleId="UserStyle_10">
    <w:name w:val="Текст сноски Знак1"/>
    <w:next w:val="UserStyle_10"/>
    <w:link w:val="FootnoteText"/>
    <w:locked/>
    <w:rPr>
      <w:rFonts w:ascii="Calibri" w:hAnsi="Calibri"/>
      <w:sz w:val="20"/>
    </w:rPr>
  </w:style>
  <w:style w:type="paragraph" w:styleId="UserStyle_12">
    <w:name w:val="ConsPlusNonformat"/>
    <w:next w:val="UserStyle_12"/>
    <w:link w:val="Normal"/>
    <w:rPr>
      <w:rFonts w:ascii="Courier New" w:hAnsi="Courier New"/>
      <w:lang w:val="ru-RU" w:bidi="ar-SA" w:eastAsia="ru-RU"/>
    </w:rPr>
    <w:pPr>
      <w:widowControl w:val="off"/>
    </w:pPr>
  </w:style>
  <w:style w:type="character" w:styleId="Hyperlink">
    <w:name w:val="Гиперссылка"/>
    <w:next w:val="Hyperlink"/>
    <w:link w:val="Normal"/>
    <w:rPr>
      <w:color w:val="0000FF"/>
      <w:u w:val="single"/>
    </w:rPr>
  </w:style>
  <w:style w:type="paragraph" w:styleId="Header">
    <w:name w:val="Верхний колонтитул"/>
    <w:basedOn w:val="Normal"/>
    <w:next w:val="Header"/>
    <w:link w:val="UserStyle_13"/>
    <w:rPr>
      <w:rFonts w:ascii="Times New Roman" w:hAnsi="Times New Roman" w:eastAsia="Calibri"/>
      <w:sz w:val="20"/>
      <w:szCs w:val="20"/>
      <w:lang w:val="en-US" w:eastAsia="ru-RU"/>
    </w:rPr>
    <w:pPr>
      <w:tabs>
        <w:tab w:val="center" w:pos="4153" w:leader="none"/>
        <w:tab w:val="right" w:pos="8306" w:leader="none"/>
      </w:tabs>
    </w:pPr>
  </w:style>
  <w:style w:type="paragraph" w:styleId="UserStyle_14">
    <w:name w:val="Colorful List - Accent 11"/>
    <w:basedOn w:val="Normal"/>
    <w:next w:val="UserStyle_14"/>
    <w:link w:val="Normal"/>
    <w:rPr>
      <w:rFonts w:eastAsia="Calibri"/>
    </w:rPr>
    <w:pPr>
      <w:contextualSpacing w:val="true"/>
      <w:ind w:left="720"/>
      <w:spacing w:lineRule="auto" w:line="276" w:after="200"/>
    </w:pPr>
  </w:style>
  <w:style w:type="character" w:styleId="UserStyle_13">
    <w:name w:val="Верхний колонтитул Знак"/>
    <w:next w:val="UserStyle_13"/>
    <w:link w:val="Header"/>
    <w:locked/>
    <w:rPr>
      <w:rFonts w:ascii="Times New Roman" w:hAnsi="Times New Roman"/>
      <w:sz w:val="20"/>
      <w:lang w:eastAsia="ru-RU"/>
    </w:rPr>
  </w:style>
  <w:style w:type="character" w:styleId="AnnotationReference">
    <w:name w:val="Знак примечания"/>
    <w:next w:val="AnnotationReference"/>
    <w:link w:val="Normal"/>
    <w:rPr>
      <w:sz w:val="16"/>
      <w:szCs w:val="16"/>
    </w:rPr>
  </w:style>
  <w:style w:type="paragraph" w:styleId="AnnotationText">
    <w:name w:val="Текст примечания"/>
    <w:basedOn w:val="Normal"/>
    <w:next w:val="AnnotationText"/>
    <w:link w:val="UserStyle_15"/>
    <w:rPr>
      <w:sz w:val="20"/>
      <w:szCs w:val="20"/>
      <w:lang w:val="en-US"/>
    </w:rPr>
  </w:style>
  <w:style w:type="paragraph" w:styleId="AnnotationSubject">
    <w:name w:val="Тема примечания"/>
    <w:basedOn w:val="AnnotationText"/>
    <w:next w:val="AnnotationText"/>
    <w:link w:val="UserStyle_16"/>
    <w:rPr>
      <w:b/>
      <w:bCs/>
    </w:rPr>
  </w:style>
  <w:style w:type="character" w:styleId="UserStyle_15">
    <w:name w:val="Текст примечания Знак"/>
    <w:next w:val="UserStyle_15"/>
    <w:link w:val="AnnotationText"/>
    <w:locked/>
    <w:rPr>
      <w:rFonts w:eastAsia="Times New Roman"/>
      <w:lang w:eastAsia="en-US"/>
    </w:rPr>
  </w:style>
  <w:style w:type="paragraph" w:styleId="UserStyle_17">
    <w:name w:val="Colorful Shading - Accent 11"/>
    <w:next w:val="UserStyle_17"/>
    <w:link w:val="Normal"/>
    <w:hidden/>
    <w:semiHidden/>
    <w:rPr>
      <w:rFonts w:eastAsia="Times New Roman"/>
      <w:sz w:val="22"/>
      <w:szCs w:val="22"/>
      <w:lang w:val="ru-RU" w:bidi="ar-SA" w:eastAsia="en-US"/>
    </w:rPr>
  </w:style>
  <w:style w:type="character" w:styleId="UserStyle_16">
    <w:name w:val="Тема примечания Знак"/>
    <w:next w:val="UserStyle_16"/>
    <w:link w:val="AnnotationSubject"/>
    <w:locked/>
    <w:rPr>
      <w:rFonts w:eastAsia="Times New Roman"/>
      <w:b/>
      <w:bCs/>
      <w:lang w:eastAsia="en-US"/>
    </w:rPr>
  </w:style>
  <w:style w:type="paragraph" w:styleId="UserStyle_18">
    <w:name w:val="ConsPlusNormal"/>
    <w:next w:val="UserStyle_18"/>
    <w:link w:val="Normal"/>
    <w:rPr>
      <w:rFonts w:ascii="Arial" w:hAnsi="Arial" w:eastAsia="Times New Roman"/>
      <w:lang w:val="ru-RU" w:bidi="ar-SA" w:eastAsia="ru-RU"/>
    </w:rPr>
    <w:pPr>
      <w:widowControl w:val="off"/>
    </w:pPr>
  </w:style>
  <w:style w:type="character" w:styleId="UserStyle_1">
    <w:name w:val="Заголовок 1 Знак,_EB_1 Знак"/>
    <w:next w:val="UserStyle_1"/>
    <w:link w:val="Heading1"/>
    <w:rPr>
      <w:rFonts w:ascii="Times New Roman" w:hAnsi="Times New Roman" w:eastAsia="Times New Roman"/>
      <w:b/>
      <w:caps/>
      <w:sz w:val="32"/>
      <w:szCs w:val="36"/>
      <w:lang w:val="en-US" w:eastAsia="en-US"/>
    </w:rPr>
  </w:style>
  <w:style w:type="character" w:styleId="UserStyle_2">
    <w:name w:val="Заголовок 2 Знак,_EB_2 Знак"/>
    <w:next w:val="UserStyle_2"/>
    <w:link w:val="Heading2"/>
    <w:rPr>
      <w:rFonts w:ascii="Times New Roman" w:hAnsi="Times New Roman" w:eastAsia="Times New Roman"/>
      <w:b/>
      <w:bCs/>
      <w:iCs/>
      <w:sz w:val="32"/>
      <w:szCs w:val="32"/>
      <w:lang w:val="en-US" w:eastAsia="en-US"/>
    </w:rPr>
  </w:style>
  <w:style w:type="character" w:styleId="UserStyle_3">
    <w:name w:val="Заголовок 3 Знак,_EB_3 Знак"/>
    <w:next w:val="UserStyle_3"/>
    <w:link w:val="Heading3"/>
    <w:rPr>
      <w:rFonts w:ascii="Times New Roman" w:hAnsi="Times New Roman" w:eastAsia="Times New Roman"/>
      <w:b/>
      <w:iCs/>
      <w:sz w:val="28"/>
      <w:szCs w:val="26"/>
      <w:lang w:val="en-US" w:eastAsia="en-US"/>
    </w:rPr>
  </w:style>
  <w:style w:type="character" w:styleId="UserStyle_4">
    <w:name w:val="Заголовок 4 Знак,_EB_4 Знак"/>
    <w:next w:val="UserStyle_4"/>
    <w:link w:val="Heading4"/>
    <w:rPr>
      <w:rFonts w:ascii="Times New Roman" w:hAnsi="Times New Roman" w:eastAsia="Times New Roman"/>
      <w:b/>
      <w:iCs/>
      <w:sz w:val="24"/>
      <w:szCs w:val="26"/>
      <w:lang w:val="en-US" w:eastAsia="en-US"/>
    </w:rPr>
  </w:style>
  <w:style w:type="character" w:styleId="UserStyle_19">
    <w:name w:val="_Текст+абзац Знак"/>
    <w:next w:val="UserStyle_19"/>
    <w:link w:val="UserStyle_20"/>
    <w:rPr>
      <w:rFonts w:ascii="Times New Roman" w:hAnsi="Times New Roman"/>
      <w:spacing w:val="-2"/>
      <w:sz w:val="28"/>
      <w:szCs w:val="22"/>
      <w:lang w:val="ru-RU" w:bidi="ar-SA" w:eastAsia="en-US"/>
    </w:rPr>
  </w:style>
  <w:style w:type="paragraph" w:styleId="UserStyle_20">
    <w:name w:val="_Текст+абзац"/>
    <w:next w:val="UserStyle_20"/>
    <w:link w:val="UserStyle_19"/>
    <w:rPr>
      <w:rFonts w:ascii="Times New Roman" w:hAnsi="Times New Roman"/>
      <w:spacing w:val="-2"/>
      <w:sz w:val="28"/>
      <w:szCs w:val="22"/>
      <w:lang w:val="ru-RU" w:bidi="ar-SA" w:eastAsia="en-US"/>
    </w:rPr>
    <w:pPr>
      <w:ind w:firstLine="567"/>
      <w:jc w:val="both"/>
      <w:spacing w:lineRule="auto" w:line="360"/>
    </w:pPr>
  </w:style>
  <w:style w:type="character" w:styleId="UserStyle_21">
    <w:name w:val="_EB_Normal Знак"/>
    <w:next w:val="UserStyle_21"/>
    <w:link w:val="UserStyle_0"/>
    <w:rPr>
      <w:sz w:val="24"/>
      <w:szCs w:val="22"/>
      <w:lang w:val="ru-RU" w:bidi="ar-SA" w:eastAsia="ru-RU"/>
    </w:rPr>
  </w:style>
  <w:style w:type="paragraph" w:styleId="UserStyle_0">
    <w:name w:val="_EB_Normal"/>
    <w:next w:val="UserStyle_0"/>
    <w:link w:val="UserStyle_21"/>
    <w:rPr>
      <w:sz w:val="24"/>
      <w:szCs w:val="22"/>
      <w:lang w:val="ru-RU" w:bidi="ar-SA" w:eastAsia="ru-RU"/>
    </w:rPr>
    <w:pPr>
      <w:contextualSpacing w:val="true"/>
      <w:ind w:firstLine="567"/>
      <w:jc w:val="both"/>
      <w:spacing w:after="60" w:before="120"/>
    </w:pPr>
  </w:style>
  <w:style w:type="paragraph" w:styleId="UserStyle_22">
    <w:name w:val="_EB_Sign"/>
    <w:basedOn w:val="Normal"/>
    <w:next w:val="UserStyle_22"/>
    <w:link w:val="Normal"/>
    <w:rPr>
      <w:rFonts w:ascii="Times New Roman" w:hAnsi="Times New Roman"/>
      <w:b/>
      <w:sz w:val="28"/>
      <w:szCs w:val="20"/>
      <w:lang w:eastAsia="ru-RU"/>
    </w:rPr>
    <w:pPr>
      <w:contextualSpacing w:val="true"/>
      <w:jc w:val="center"/>
      <w:keepNext/>
      <w:spacing w:after="120" w:before="120"/>
    </w:pPr>
  </w:style>
  <w:style w:type="paragraph" w:styleId="BodyTextIndent3">
    <w:name w:val="Основной текст с отступом 3"/>
    <w:basedOn w:val="Normal"/>
    <w:next w:val="BodyTextIndent3"/>
    <w:link w:val="UserStyle_23"/>
    <w:semiHidden/>
    <w:rPr>
      <w:rFonts w:ascii="Times New Roman" w:hAnsi="Times New Roman"/>
      <w:sz w:val="16"/>
      <w:szCs w:val="20"/>
      <w:lang w:val="en-US" w:eastAsia="en-US"/>
    </w:rPr>
    <w:pPr>
      <w:ind w:left="283" w:firstLine="567"/>
      <w:jc w:val="both"/>
      <w:spacing w:after="120"/>
    </w:pPr>
  </w:style>
  <w:style w:type="character" w:styleId="UserStyle_23">
    <w:name w:val="Основной текст с отступом 3 Знак"/>
    <w:next w:val="UserStyle_23"/>
    <w:link w:val="BodyTextIndent3"/>
    <w:semiHidden/>
    <w:rPr>
      <w:rFonts w:ascii="Times New Roman" w:hAnsi="Times New Roman" w:eastAsia="Times New Roman"/>
      <w:sz w:val="16"/>
      <w:szCs w:val="20"/>
      <w:lang w:val="en-US" w:eastAsia="en-US"/>
    </w:rPr>
  </w:style>
  <w:style w:type="paragraph" w:styleId="BodyText">
    <w:name w:val="Основной текст,body text table,Body Text Table,contents,bt,Body 3,Corps de texte,heading_txt,bodytxy2,Body Text - Level 2,??2,Platte tekst,body tesx,t,text,sp,Resume Text,Цитата1,heading3,body text1,body text2,bt1,body text3"/>
    <w:basedOn w:val="Normal"/>
    <w:next w:val="BodyText"/>
    <w:link w:val="UserStyle_24"/>
    <w:semiHidden/>
    <w:rPr>
      <w:rFonts w:ascii="Times New Roman" w:hAnsi="Times New Roman"/>
      <w:sz w:val="20"/>
      <w:szCs w:val="20"/>
      <w:lang w:val="en-US" w:eastAsia="en-US"/>
    </w:rPr>
    <w:pPr>
      <w:ind w:firstLine="567"/>
      <w:jc w:val="both"/>
      <w:spacing w:after="240"/>
    </w:pPr>
  </w:style>
  <w:style w:type="character" w:styleId="UserStyle_24">
    <w:name w:val="Основной текст Знак,body text table Знак,Body Text Table Знак,contents Знак,bt Знак,Body 3 Знак,Corps de texte Знак,heading_txt Знак,bodytxy2 Знак,Body Text - Level 2 Знак,??2 Знак,Platte tekst Знак,body tesx Знак,t Знак,text Знак,sp Знак,Цитата1 Знак"/>
    <w:next w:val="UserStyle_24"/>
    <w:link w:val="BodyText"/>
    <w:semiHidden/>
    <w:rPr>
      <w:rFonts w:ascii="Times New Roman" w:hAnsi="Times New Roman" w:eastAsia="Times New Roman"/>
      <w:sz w:val="20"/>
      <w:szCs w:val="20"/>
      <w:lang w:val="en-US" w:eastAsia="en-US"/>
    </w:rPr>
  </w:style>
  <w:style w:type="numbering" w:styleId="OutlineList1">
    <w:name w:val="1 / a / i"/>
    <w:basedOn w:val="NormalList"/>
    <w:next w:val="OutlineList1"/>
    <w:link w:val="Normal"/>
    <w:pPr>
      <w:numPr>
        <w:numId w:val="2"/>
      </w:numPr>
    </w:pPr>
  </w:style>
  <w:style w:type="paragraph" w:styleId="UserStyle_25">
    <w:name w:val="Iau?iue"/>
    <w:next w:val="UserStyle_25"/>
    <w:link w:val="Normal"/>
    <w:rPr>
      <w:rFonts w:ascii="Times New Roman" w:hAnsi="Times New Roman" w:eastAsia="Times New Roman"/>
      <w:lang w:val="ru-RU" w:bidi="ar-SA" w:eastAsia="ru-RU"/>
    </w:rPr>
  </w:style>
  <w:style w:type="paragraph" w:styleId="UserStyle_26">
    <w:name w:val="Iau?iue1"/>
    <w:next w:val="UserStyle_26"/>
    <w:link w:val="Normal"/>
    <w:rPr>
      <w:rFonts w:ascii="Times New Roman" w:hAnsi="Times New Roman" w:eastAsia="Times New Roman"/>
      <w:lang w:val="ru-RU" w:bidi="ar-SA" w:eastAsia="ru-RU"/>
    </w:rPr>
    <w:pPr>
      <w:widowControl w:val="off"/>
    </w:pPr>
  </w:style>
  <w:style w:type="paragraph" w:styleId="UserStyle_27">
    <w:name w:val="Iniiaiie oaeno 2"/>
    <w:basedOn w:val="UserStyle_25"/>
    <w:next w:val="UserStyle_27"/>
    <w:link w:val="Normal"/>
    <w:rPr>
      <w:sz w:val="24"/>
    </w:rPr>
    <w:pPr>
      <w:ind w:firstLine="709"/>
      <w:jc w:val="both"/>
      <w:spacing w:after="120"/>
    </w:pPr>
  </w:style>
  <w:style w:type="paragraph" w:styleId="Footer">
    <w:name w:val="Нижний колонтитул"/>
    <w:basedOn w:val="Normal"/>
    <w:next w:val="Footer"/>
    <w:link w:val="UserStyle_28"/>
    <w:rPr>
      <w:lang w:val="en-US"/>
    </w:rPr>
    <w:pPr>
      <w:tabs>
        <w:tab w:val="center" w:pos="4677" w:leader="none"/>
        <w:tab w:val="right" w:pos="9355" w:leader="none"/>
      </w:tabs>
    </w:pPr>
  </w:style>
  <w:style w:type="character" w:styleId="UserStyle_28">
    <w:name w:val="Нижний колонтитул Знак1"/>
    <w:next w:val="UserStyle_28"/>
    <w:link w:val="Footer"/>
    <w:rPr>
      <w:rFonts w:eastAsia="Times New Roman"/>
      <w:sz w:val="22"/>
      <w:szCs w:val="22"/>
      <w:lang w:eastAsia="en-US"/>
    </w:rPr>
  </w:style>
  <w:style w:type="paragraph" w:styleId="UserStyle_29">
    <w:name w:val="Default"/>
    <w:next w:val="UserStyle_29"/>
    <w:link w:val="Normal"/>
    <w:rPr>
      <w:rFonts w:ascii="Times New Roman" w:hAnsi="Times New Roman"/>
      <w:color w:val="000000"/>
      <w:sz w:val="24"/>
      <w:szCs w:val="24"/>
      <w:lang w:val="ru-RU" w:bidi="ar-SA" w:eastAsia="en-US"/>
    </w:rPr>
  </w:style>
  <w:style w:type="paragraph" w:styleId="HtmlNormal">
    <w:name w:val="Обычный (веб)"/>
    <w:basedOn w:val="Normal"/>
    <w:next w:val="HtmlNormal"/>
    <w:link w:val="Normal"/>
    <w:rPr>
      <w:rFonts w:ascii="Times New Roman" w:hAnsi="Times New Roman"/>
      <w:sz w:val="24"/>
      <w:szCs w:val="24"/>
      <w:lang w:eastAsia="ru-RU"/>
    </w:rPr>
    <w:pPr>
      <w:spacing w:after="100" w:afterAutospacing="1" w:before="100" w:beforeAutospacing="1"/>
    </w:pPr>
  </w:style>
  <w:style w:type="paragraph" w:styleId="UserStyle_30">
    <w:name w:val="Заг_Приложение"/>
    <w:basedOn w:val="Heading1"/>
    <w:next w:val="UserStyle_0"/>
    <w:link w:val="Normal"/>
    <w:rPr>
      <w:lang w:eastAsia="en-US"/>
    </w:rPr>
    <w:pPr>
      <w:numPr>
        <w:numId w:val="3"/>
        <w:ilvl w:val="0"/>
      </w:numPr>
      <w:ind w:left="0" w:firstLine="0"/>
    </w:pPr>
  </w:style>
  <w:style w:type="paragraph" w:styleId="NavPane">
    <w:name w:val="Схема документа"/>
    <w:basedOn w:val="Normal"/>
    <w:next w:val="NavPane"/>
    <w:link w:val="UserStyle_31"/>
    <w:semiHidden/>
    <w:rPr>
      <w:rFonts w:ascii="Tahoma" w:hAnsi="Tahoma"/>
      <w:sz w:val="16"/>
      <w:szCs w:val="16"/>
      <w:lang w:val="en-US"/>
    </w:rPr>
  </w:style>
  <w:style w:type="character" w:styleId="UserStyle_31">
    <w:name w:val="Схема документа Знак"/>
    <w:next w:val="UserStyle_31"/>
    <w:link w:val="NavPane"/>
    <w:semiHidden/>
    <w:rPr>
      <w:rFonts w:ascii="Tahoma" w:hAnsi="Tahoma" w:eastAsia="Times New Roman"/>
      <w:sz w:val="16"/>
      <w:szCs w:val="16"/>
      <w:lang w:eastAsia="en-US"/>
    </w:rPr>
  </w:style>
  <w:style w:type="paragraph" w:styleId="UserStyle_32">
    <w:name w:val="_GOST_Table_norm"/>
    <w:next w:val="UserStyle_32"/>
    <w:link w:val="UserStyle_33"/>
    <w:rPr>
      <w:rFonts w:ascii="Times New Roman" w:hAnsi="Times New Roman" w:eastAsia="Times New Roman"/>
      <w:sz w:val="22"/>
      <w:lang w:val="ru-RU" w:bidi="ar-SA" w:eastAsia="ru-RU"/>
    </w:rPr>
    <w:pPr>
      <w:ind w:left="57" w:right="57"/>
      <w:jc w:val="both"/>
    </w:pPr>
  </w:style>
  <w:style w:type="character" w:styleId="UserStyle_33">
    <w:name w:val="_GOST_Table_norm Знак"/>
    <w:next w:val="UserStyle_33"/>
    <w:link w:val="UserStyle_32"/>
    <w:rPr>
      <w:rFonts w:ascii="Times New Roman" w:hAnsi="Times New Roman" w:eastAsia="Times New Roman"/>
      <w:sz w:val="22"/>
    </w:rPr>
  </w:style>
  <w:style w:type="paragraph" w:styleId="179">
    <w:name w:val="Абзац списка"/>
    <w:basedOn w:val="Normal"/>
    <w:next w:val="179"/>
    <w:link w:val="Normal"/>
    <w:pPr>
      <w:ind w:left="708"/>
    </w:pPr>
  </w:style>
  <w:style w:type="paragraph" w:styleId="EndnoteText">
    <w:name w:val="Текст концевой сноски"/>
    <w:basedOn w:val="Normal"/>
    <w:next w:val="EndnoteText"/>
    <w:link w:val="UserStyle_34"/>
    <w:rPr>
      <w:sz w:val="20"/>
      <w:szCs w:val="20"/>
    </w:rPr>
  </w:style>
  <w:style w:type="character" w:styleId="UserStyle_34">
    <w:name w:val="Текст концевой сноски Знак"/>
    <w:next w:val="UserStyle_34"/>
    <w:link w:val="EndnoteText"/>
    <w:rPr>
      <w:rFonts w:eastAsia="Times New Roman"/>
      <w:lang w:eastAsia="en-US"/>
    </w:rPr>
  </w:style>
  <w:style w:type="character" w:styleId="EndnoteReference">
    <w:name w:val="Знак концевой сноски"/>
    <w:next w:val="EndnoteReference"/>
    <w:link w:val="Normal"/>
    <w:semiHidden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